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07E66" w14:textId="77777777" w:rsidR="00323171" w:rsidRDefault="00904864" w:rsidP="00904864">
      <w:pPr>
        <w:autoSpaceDE w:val="0"/>
        <w:autoSpaceDN w:val="0"/>
        <w:adjustRightInd w:val="0"/>
        <w:spacing w:line="360" w:lineRule="auto"/>
        <w:ind w:left="1560" w:hanging="156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Purpose</w:t>
      </w:r>
      <w:r w:rsidR="00323171">
        <w:rPr>
          <w:rFonts w:cstheme="minorHAnsi"/>
          <w:b/>
          <w:sz w:val="24"/>
          <w:szCs w:val="24"/>
        </w:rPr>
        <w:t>: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ab/>
      </w:r>
      <w:r w:rsidR="00323171">
        <w:rPr>
          <w:rFonts w:cstheme="minorHAnsi"/>
          <w:sz w:val="24"/>
          <w:szCs w:val="24"/>
        </w:rPr>
        <w:t>Proposal to implement a 12.5% increase in tax on drinks and foods with a high sugar content</w:t>
      </w:r>
    </w:p>
    <w:p w14:paraId="15FDBCC4" w14:textId="77777777" w:rsidR="00323171" w:rsidRDefault="00323171" w:rsidP="00904864">
      <w:pPr>
        <w:autoSpaceDE w:val="0"/>
        <w:autoSpaceDN w:val="0"/>
        <w:adjustRightInd w:val="0"/>
        <w:spacing w:line="360" w:lineRule="auto"/>
        <w:ind w:left="1560" w:hanging="156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From:</w:t>
      </w:r>
      <w:r>
        <w:rPr>
          <w:rFonts w:cstheme="minorHAnsi"/>
          <w:sz w:val="24"/>
          <w:szCs w:val="24"/>
        </w:rPr>
        <w:tab/>
      </w:r>
      <w:r w:rsidR="00576B70">
        <w:rPr>
          <w:rFonts w:cstheme="minorHAnsi"/>
          <w:sz w:val="24"/>
          <w:szCs w:val="24"/>
        </w:rPr>
        <w:t>Federal Department of Health, Minister’s office</w:t>
      </w:r>
    </w:p>
    <w:p w14:paraId="423F5709" w14:textId="77777777" w:rsidR="00576B70" w:rsidRPr="00576B70" w:rsidRDefault="00576B70" w:rsidP="00904864">
      <w:pPr>
        <w:autoSpaceDE w:val="0"/>
        <w:autoSpaceDN w:val="0"/>
        <w:adjustRightInd w:val="0"/>
        <w:spacing w:line="360" w:lineRule="auto"/>
        <w:ind w:left="1560" w:hanging="156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Author:</w:t>
      </w:r>
      <w:r>
        <w:rPr>
          <w:rFonts w:cstheme="minorHAnsi"/>
          <w:b/>
          <w:sz w:val="24"/>
          <w:szCs w:val="24"/>
        </w:rPr>
        <w:tab/>
      </w:r>
      <w:r w:rsidRPr="00576B70">
        <w:rPr>
          <w:rFonts w:cstheme="minorHAnsi"/>
          <w:sz w:val="24"/>
          <w:szCs w:val="24"/>
        </w:rPr>
        <w:t>Vivian Fry</w:t>
      </w:r>
    </w:p>
    <w:p w14:paraId="12FAD814" w14:textId="77777777" w:rsidR="00576B70" w:rsidRDefault="00576B70" w:rsidP="00904864">
      <w:pPr>
        <w:autoSpaceDE w:val="0"/>
        <w:autoSpaceDN w:val="0"/>
        <w:adjustRightInd w:val="0"/>
        <w:spacing w:line="360" w:lineRule="auto"/>
        <w:ind w:left="1560" w:hanging="156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Date:</w:t>
      </w:r>
      <w:r>
        <w:rPr>
          <w:rFonts w:cstheme="minorHAnsi"/>
          <w:sz w:val="24"/>
          <w:szCs w:val="24"/>
        </w:rPr>
        <w:tab/>
        <w:t>17 May 2020</w:t>
      </w:r>
    </w:p>
    <w:p w14:paraId="3C4028A5" w14:textId="77777777" w:rsidR="00576B70" w:rsidRPr="00323171" w:rsidRDefault="00904864" w:rsidP="00323171">
      <w:pPr>
        <w:autoSpaceDE w:val="0"/>
        <w:autoSpaceDN w:val="0"/>
        <w:adjustRightInd w:val="0"/>
        <w:spacing w:line="360" w:lineRule="auto"/>
        <w:ind w:left="2835" w:hanging="2835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90E5A1" wp14:editId="4AC62E19">
                <wp:simplePos x="0" y="0"/>
                <wp:positionH relativeFrom="column">
                  <wp:posOffset>0</wp:posOffset>
                </wp:positionH>
                <wp:positionV relativeFrom="paragraph">
                  <wp:posOffset>143702</wp:posOffset>
                </wp:positionV>
                <wp:extent cx="59436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EB21A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3pt" to="468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</w:p>
    <w:p w14:paraId="04641052" w14:textId="77777777" w:rsidR="00904864" w:rsidRPr="008B4233" w:rsidRDefault="00904864" w:rsidP="00323171">
      <w:pPr>
        <w:autoSpaceDE w:val="0"/>
        <w:autoSpaceDN w:val="0"/>
        <w:adjustRightInd w:val="0"/>
        <w:spacing w:line="360" w:lineRule="auto"/>
        <w:rPr>
          <w:rFonts w:cstheme="minorHAnsi"/>
          <w:b/>
          <w:sz w:val="24"/>
          <w:szCs w:val="24"/>
        </w:rPr>
      </w:pPr>
      <w:r w:rsidRPr="008B4233">
        <w:rPr>
          <w:rFonts w:cstheme="minorHAnsi"/>
          <w:b/>
          <w:sz w:val="24"/>
          <w:szCs w:val="24"/>
        </w:rPr>
        <w:t>Background information</w:t>
      </w:r>
    </w:p>
    <w:p w14:paraId="0DD2CD1E" w14:textId="77777777" w:rsidR="00904864" w:rsidRDefault="00D2225F" w:rsidP="00D65CA0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Rates of obesity and</w:t>
      </w:r>
      <w:r w:rsidR="00904864">
        <w:rPr>
          <w:rFonts w:cstheme="minorHAnsi"/>
          <w:sz w:val="24"/>
          <w:szCs w:val="24"/>
        </w:rPr>
        <w:t xml:space="preserve"> overweight</w:t>
      </w:r>
      <w:r>
        <w:rPr>
          <w:rFonts w:cstheme="minorHAnsi"/>
          <w:sz w:val="24"/>
          <w:szCs w:val="24"/>
        </w:rPr>
        <w:t xml:space="preserve"> have increased in all age groups across the Australian community </w:t>
      </w:r>
      <w:r w:rsidRPr="00D873D1">
        <w:rPr>
          <w:rFonts w:cstheme="minorHAnsi"/>
          <w:sz w:val="24"/>
          <w:szCs w:val="24"/>
        </w:rPr>
        <w:t xml:space="preserve">but especially in the </w:t>
      </w:r>
      <w:r w:rsidR="00D65CA0">
        <w:rPr>
          <w:rFonts w:cstheme="minorHAnsi"/>
          <w:sz w:val="24"/>
          <w:szCs w:val="24"/>
        </w:rPr>
        <w:t xml:space="preserve">18 years and over </w:t>
      </w:r>
      <w:r w:rsidRPr="00D873D1">
        <w:rPr>
          <w:rFonts w:cstheme="minorHAnsi"/>
          <w:sz w:val="24"/>
          <w:szCs w:val="24"/>
        </w:rPr>
        <w:t>population</w:t>
      </w:r>
      <w:r w:rsidR="00D65CA0">
        <w:rPr>
          <w:rFonts w:cstheme="minorHAnsi"/>
          <w:sz w:val="24"/>
          <w:szCs w:val="24"/>
        </w:rPr>
        <w:t>,</w:t>
      </w:r>
      <w:r w:rsidRPr="00D873D1">
        <w:rPr>
          <w:rFonts w:cstheme="minorHAnsi"/>
          <w:sz w:val="24"/>
          <w:szCs w:val="24"/>
        </w:rPr>
        <w:t xml:space="preserve"> according to the Obesity Policy Coalition (n.d.) and 2017</w:t>
      </w:r>
      <w:r w:rsidR="00D65CA0">
        <w:rPr>
          <w:rFonts w:cstheme="minorHAnsi"/>
          <w:sz w:val="24"/>
          <w:szCs w:val="24"/>
        </w:rPr>
        <w:t>-</w:t>
      </w:r>
      <w:r w:rsidRPr="00D873D1">
        <w:rPr>
          <w:rFonts w:cstheme="minorHAnsi"/>
          <w:sz w:val="24"/>
          <w:szCs w:val="24"/>
        </w:rPr>
        <w:t>18 figures from the Australian Bureau of Statistics</w:t>
      </w:r>
      <w:r w:rsidR="00D65CA0">
        <w:rPr>
          <w:rFonts w:cstheme="minorHAnsi"/>
          <w:sz w:val="24"/>
          <w:szCs w:val="24"/>
        </w:rPr>
        <w:t xml:space="preserve"> (2018). This </w:t>
      </w:r>
      <w:r w:rsidR="00815D42">
        <w:rPr>
          <w:rFonts w:cstheme="minorHAnsi"/>
          <w:sz w:val="24"/>
          <w:szCs w:val="24"/>
        </w:rPr>
        <w:t>is an increase of 3.6% from</w:t>
      </w:r>
      <w:r w:rsidR="00D65CA0">
        <w:rPr>
          <w:rFonts w:cstheme="minorHAnsi"/>
          <w:sz w:val="24"/>
          <w:szCs w:val="24"/>
        </w:rPr>
        <w:t xml:space="preserve"> 2014-15. The proportion of obese adults has increased from 18.7% in 1995 to 31.3% in 2017-18.</w:t>
      </w:r>
    </w:p>
    <w:p w14:paraId="6B13BBA2" w14:textId="77777777" w:rsidR="00CA192A" w:rsidRDefault="00CA192A" w:rsidP="00D65CA0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6F12177B" w14:textId="77777777" w:rsidR="00CA192A" w:rsidRDefault="00CA192A" w:rsidP="00D65CA0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Grattan Institute study (Duckett &amp; </w:t>
      </w:r>
      <w:proofErr w:type="spellStart"/>
      <w:r>
        <w:rPr>
          <w:rFonts w:cstheme="minorHAnsi"/>
          <w:sz w:val="24"/>
          <w:szCs w:val="24"/>
        </w:rPr>
        <w:t>Swerissen</w:t>
      </w:r>
      <w:proofErr w:type="spellEnd"/>
      <w:r>
        <w:rPr>
          <w:rFonts w:cstheme="minorHAnsi"/>
          <w:sz w:val="24"/>
          <w:szCs w:val="24"/>
        </w:rPr>
        <w:t xml:space="preserve">, 2016) shows that there is a link between obesity and increased risk in a range of diseases including type 2 diabetes, cardiovascular disease, sleep apnoea, abnormal lipids, fatty liver disease and </w:t>
      </w:r>
      <w:r w:rsidR="0063626A">
        <w:rPr>
          <w:rFonts w:cstheme="minorHAnsi"/>
          <w:sz w:val="24"/>
          <w:szCs w:val="24"/>
        </w:rPr>
        <w:t xml:space="preserve">(some) </w:t>
      </w:r>
      <w:r>
        <w:rPr>
          <w:rFonts w:cstheme="minorHAnsi"/>
          <w:sz w:val="24"/>
          <w:szCs w:val="24"/>
        </w:rPr>
        <w:t xml:space="preserve">cancers. </w:t>
      </w:r>
    </w:p>
    <w:p w14:paraId="241BBD9A" w14:textId="77777777" w:rsidR="00680206" w:rsidRDefault="00680206" w:rsidP="00D65CA0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5745706C" w14:textId="77777777" w:rsidR="00680206" w:rsidRDefault="00680206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Prior to 2000 when the Goods and Services Tax (GST) was introduced there was a sales tax of 22% on soft drinks in Australia.</w:t>
      </w:r>
    </w:p>
    <w:p w14:paraId="1DF6B0E9" w14:textId="77777777" w:rsidR="00CA192A" w:rsidRDefault="00CA192A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1BED8DAC" w14:textId="77777777" w:rsidR="00FF1009" w:rsidRPr="008B4233" w:rsidRDefault="00FF1009" w:rsidP="00D65CA0">
      <w:pPr>
        <w:autoSpaceDE w:val="0"/>
        <w:autoSpaceDN w:val="0"/>
        <w:adjustRightInd w:val="0"/>
        <w:spacing w:line="360" w:lineRule="auto"/>
        <w:rPr>
          <w:rFonts w:cstheme="minorHAnsi"/>
          <w:b/>
          <w:sz w:val="24"/>
          <w:szCs w:val="24"/>
        </w:rPr>
      </w:pPr>
      <w:r w:rsidRPr="008B4233">
        <w:rPr>
          <w:rFonts w:cstheme="minorHAnsi"/>
          <w:b/>
          <w:sz w:val="24"/>
          <w:szCs w:val="24"/>
        </w:rPr>
        <w:t>Government</w:t>
      </w:r>
    </w:p>
    <w:p w14:paraId="0360CDB7" w14:textId="77777777" w:rsidR="00FF1009" w:rsidRDefault="00FF1009" w:rsidP="00FF1009">
      <w:pPr>
        <w:pStyle w:val="Default"/>
        <w:rPr>
          <w:rFonts w:asciiTheme="minorHAnsi" w:hAnsiTheme="minorHAnsi" w:cstheme="minorHAnsi"/>
        </w:rPr>
      </w:pPr>
      <w:r w:rsidRPr="00FF1009">
        <w:rPr>
          <w:rFonts w:asciiTheme="minorHAnsi" w:hAnsiTheme="minorHAnsi" w:cstheme="minorHAnsi"/>
        </w:rPr>
        <w:t>The Federal Plat</w:t>
      </w:r>
      <w:r>
        <w:rPr>
          <w:rFonts w:asciiTheme="minorHAnsi" w:hAnsiTheme="minorHAnsi" w:cstheme="minorHAnsi"/>
        </w:rPr>
        <w:t>for</w:t>
      </w:r>
      <w:r w:rsidRPr="00FF1009">
        <w:rPr>
          <w:rFonts w:asciiTheme="minorHAnsi" w:hAnsiTheme="minorHAnsi" w:cstheme="minorHAnsi"/>
        </w:rPr>
        <w:t>m</w:t>
      </w:r>
      <w:r>
        <w:rPr>
          <w:rFonts w:asciiTheme="minorHAnsi" w:hAnsiTheme="minorHAnsi" w:cstheme="minorHAnsi"/>
        </w:rPr>
        <w:t xml:space="preserve"> of the Liberal Party of Australia as adopted by the Federal Council in April 2002 states:</w:t>
      </w:r>
    </w:p>
    <w:p w14:paraId="33C08ADF" w14:textId="77777777" w:rsidR="00FF1009" w:rsidRPr="00FF1009" w:rsidRDefault="00FF1009" w:rsidP="00FF1009">
      <w:pPr>
        <w:pStyle w:val="Default"/>
        <w:rPr>
          <w:rFonts w:asciiTheme="minorHAnsi" w:hAnsiTheme="minorHAnsi" w:cstheme="minorHAnsi"/>
        </w:rPr>
      </w:pPr>
      <w:r w:rsidRPr="00FF1009">
        <w:rPr>
          <w:rFonts w:asciiTheme="minorHAnsi" w:hAnsiTheme="minorHAnsi" w:cstheme="minorHAnsi"/>
        </w:rPr>
        <w:t xml:space="preserve"> </w:t>
      </w:r>
    </w:p>
    <w:p w14:paraId="7C9C58FC" w14:textId="77777777" w:rsidR="00FF1009" w:rsidRPr="00FF1009" w:rsidRDefault="00FF1009" w:rsidP="00FF1009">
      <w:pPr>
        <w:pStyle w:val="Default"/>
        <w:numPr>
          <w:ilvl w:val="0"/>
          <w:numId w:val="5"/>
        </w:numPr>
        <w:rPr>
          <w:rFonts w:asciiTheme="minorHAnsi" w:hAnsiTheme="minorHAnsi" w:cstheme="minorHAnsi"/>
          <w:color w:val="211D1E"/>
        </w:rPr>
      </w:pPr>
      <w:r w:rsidRPr="00FF1009">
        <w:rPr>
          <w:rStyle w:val="A8"/>
          <w:rFonts w:asciiTheme="minorHAnsi" w:hAnsiTheme="minorHAnsi" w:cstheme="minorHAnsi"/>
          <w:b w:val="0"/>
          <w:sz w:val="24"/>
          <w:szCs w:val="24"/>
        </w:rPr>
        <w:t xml:space="preserve">In Government being sufficiently responsive </w:t>
      </w:r>
      <w:r w:rsidRPr="00FF1009">
        <w:rPr>
          <w:rStyle w:val="A4"/>
          <w:rFonts w:asciiTheme="minorHAnsi" w:hAnsiTheme="minorHAnsi" w:cstheme="minorHAnsi"/>
          <w:sz w:val="24"/>
          <w:szCs w:val="24"/>
        </w:rPr>
        <w:t xml:space="preserve">so that it can meet its proper obligations to its citizens. </w:t>
      </w:r>
    </w:p>
    <w:p w14:paraId="150EC2CC" w14:textId="77777777" w:rsidR="00FF1009" w:rsidRDefault="00FF1009" w:rsidP="00D65CA0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7253BA56" w14:textId="77777777" w:rsidR="006A7384" w:rsidRDefault="006A7384" w:rsidP="00D65CA0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 fulfil part of this obligation to the Australian community, the Federal Government needs to investigate a range a </w:t>
      </w:r>
      <w:proofErr w:type="gramStart"/>
      <w:r>
        <w:rPr>
          <w:rFonts w:cstheme="minorHAnsi"/>
          <w:sz w:val="24"/>
          <w:szCs w:val="24"/>
        </w:rPr>
        <w:t>measures</w:t>
      </w:r>
      <w:proofErr w:type="gramEnd"/>
      <w:r>
        <w:rPr>
          <w:rFonts w:cstheme="minorHAnsi"/>
          <w:sz w:val="24"/>
          <w:szCs w:val="24"/>
        </w:rPr>
        <w:t xml:space="preserve"> designed to:</w:t>
      </w:r>
    </w:p>
    <w:p w14:paraId="11207838" w14:textId="77777777" w:rsidR="00680206" w:rsidRPr="00680206" w:rsidRDefault="006A7384" w:rsidP="00680206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reduce the consumption of beverages and foods with high levels of sugar or sugar additives.</w:t>
      </w:r>
    </w:p>
    <w:p w14:paraId="25B0C34E" w14:textId="77777777" w:rsidR="006A7384" w:rsidRDefault="006A7384" w:rsidP="006A7384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increase the consumption of healthy alternatives to sugar rich beverages and foods.</w:t>
      </w:r>
    </w:p>
    <w:p w14:paraId="09413B57" w14:textId="77777777" w:rsidR="006A7384" w:rsidRDefault="006A7384" w:rsidP="006A7384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deliver programs designed to increase awareness of healthy beverage and food choices.</w:t>
      </w:r>
    </w:p>
    <w:p w14:paraId="268E2E55" w14:textId="77777777" w:rsidR="006A7384" w:rsidRDefault="00680206" w:rsidP="006A7384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ensure health and other services are able to appropriately assist those members of the community in need of assistance.</w:t>
      </w:r>
    </w:p>
    <w:p w14:paraId="37942F6C" w14:textId="77777777" w:rsidR="00680206" w:rsidRDefault="00680206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4AEC1315" w14:textId="77777777" w:rsidR="00852EA7" w:rsidRPr="008B4233" w:rsidRDefault="00680206" w:rsidP="00680206">
      <w:pPr>
        <w:autoSpaceDE w:val="0"/>
        <w:autoSpaceDN w:val="0"/>
        <w:adjustRightInd w:val="0"/>
        <w:spacing w:line="360" w:lineRule="auto"/>
        <w:rPr>
          <w:rFonts w:cstheme="minorHAnsi"/>
          <w:b/>
          <w:sz w:val="24"/>
          <w:szCs w:val="24"/>
        </w:rPr>
      </w:pPr>
      <w:r w:rsidRPr="008B4233">
        <w:rPr>
          <w:rFonts w:cstheme="minorHAnsi"/>
          <w:b/>
          <w:sz w:val="24"/>
          <w:szCs w:val="24"/>
        </w:rPr>
        <w:t xml:space="preserve">Health </w:t>
      </w:r>
    </w:p>
    <w:p w14:paraId="5DA4E618" w14:textId="77777777" w:rsidR="00680206" w:rsidRDefault="00815D42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</w:t>
      </w:r>
      <w:r w:rsidR="003858A1">
        <w:rPr>
          <w:rFonts w:cstheme="minorHAnsi"/>
          <w:sz w:val="24"/>
          <w:szCs w:val="24"/>
        </w:rPr>
        <w:t xml:space="preserve"> Grattan Institute report (2016) estimates that the 2014-15 costs for third-parties in relation to obesity was $5.3billion.  </w:t>
      </w:r>
      <w:r w:rsidR="0063626A">
        <w:rPr>
          <w:rFonts w:cstheme="minorHAnsi"/>
          <w:sz w:val="24"/>
          <w:szCs w:val="24"/>
        </w:rPr>
        <w:t>Of this, $2.6billion was spent on GPs, specialists, allied health services, hospital care and pharmaceuticals.</w:t>
      </w:r>
    </w:p>
    <w:p w14:paraId="1A1BFBEA" w14:textId="77777777" w:rsidR="00852EA7" w:rsidRDefault="00852EA7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3E9C07A4" w14:textId="77777777" w:rsidR="00852EA7" w:rsidRDefault="00815D42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Obesity Policy Coalition (2018) reported that Australia has the fifth highest rate of obesity amongst OECD countries</w:t>
      </w:r>
      <w:r w:rsidR="00EF0EEE">
        <w:rPr>
          <w:rFonts w:cstheme="minorHAnsi"/>
          <w:sz w:val="24"/>
          <w:szCs w:val="24"/>
        </w:rPr>
        <w:t xml:space="preserve"> and suggest increasing physical activity and reducing the intake of energy dense, nutrient poor food and drink is the most efficient method of achieving and maintaining a healthy weight.  </w:t>
      </w:r>
    </w:p>
    <w:p w14:paraId="02DDEAEF" w14:textId="77777777" w:rsidR="00852EA7" w:rsidRDefault="00852EA7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168A89D3" w14:textId="77777777" w:rsidR="00680206" w:rsidRDefault="00680206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Diabetes Australia released a position statement in 2018</w:t>
      </w:r>
      <w:r w:rsidR="00EF0EEE">
        <w:rPr>
          <w:rFonts w:cstheme="minorHAnsi"/>
          <w:sz w:val="24"/>
          <w:szCs w:val="24"/>
        </w:rPr>
        <w:t xml:space="preserve"> </w:t>
      </w:r>
      <w:r w:rsidR="00D1120C">
        <w:rPr>
          <w:rFonts w:cstheme="minorHAnsi"/>
          <w:sz w:val="24"/>
          <w:szCs w:val="24"/>
        </w:rPr>
        <w:t xml:space="preserve">which </w:t>
      </w:r>
      <w:r w:rsidR="00EF0EEE">
        <w:rPr>
          <w:rFonts w:cstheme="minorHAnsi"/>
          <w:sz w:val="24"/>
          <w:szCs w:val="24"/>
        </w:rPr>
        <w:t xml:space="preserve">adds weight to this argument with the addition of information that suggests that the consumption of </w:t>
      </w:r>
      <w:bookmarkStart w:id="0" w:name="_GoBack"/>
      <w:r w:rsidR="00EF0EEE">
        <w:rPr>
          <w:rFonts w:cstheme="minorHAnsi"/>
          <w:sz w:val="24"/>
          <w:szCs w:val="24"/>
        </w:rPr>
        <w:t xml:space="preserve">sweetened food and beverages can lead to dental caries in children and an increased risk of </w:t>
      </w:r>
      <w:bookmarkEnd w:id="0"/>
      <w:r w:rsidR="00EF0EEE">
        <w:rPr>
          <w:rFonts w:cstheme="minorHAnsi"/>
          <w:sz w:val="24"/>
          <w:szCs w:val="24"/>
        </w:rPr>
        <w:t>reduced bone st</w:t>
      </w:r>
      <w:r w:rsidR="00F12F7E">
        <w:rPr>
          <w:rFonts w:cstheme="minorHAnsi"/>
          <w:sz w:val="24"/>
          <w:szCs w:val="24"/>
        </w:rPr>
        <w:t xml:space="preserve">rength. </w:t>
      </w:r>
    </w:p>
    <w:p w14:paraId="5BD62391" w14:textId="77777777" w:rsidR="00F12F7E" w:rsidRDefault="00F12F7E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411F6032" w14:textId="77777777" w:rsidR="00F12F7E" w:rsidRDefault="00F12F7E" w:rsidP="0068020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While there have been significant improvements in some areas of health over the past ten years (Australian Institute of Health and Welfare, 2018), notably a reduction in the number of adults who are smoking daily and the incidence of heart attacks, the </w:t>
      </w:r>
      <w:r w:rsidR="00D1120C">
        <w:rPr>
          <w:rFonts w:cstheme="minorHAnsi"/>
          <w:sz w:val="24"/>
          <w:szCs w:val="24"/>
        </w:rPr>
        <w:t xml:space="preserve">health </w:t>
      </w:r>
      <w:r>
        <w:rPr>
          <w:rFonts w:cstheme="minorHAnsi"/>
          <w:sz w:val="24"/>
          <w:szCs w:val="24"/>
        </w:rPr>
        <w:t xml:space="preserve">trend for people who are overweight and obese is poor.  </w:t>
      </w:r>
    </w:p>
    <w:p w14:paraId="6BBA34EE" w14:textId="77777777" w:rsidR="006A7384" w:rsidRDefault="006A7384" w:rsidP="00D65CA0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618D7556" w14:textId="77777777" w:rsidR="00FB5529" w:rsidRDefault="00FB552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ADB4D38" w14:textId="77777777" w:rsidR="00441073" w:rsidRPr="008B4233" w:rsidRDefault="00FB5529" w:rsidP="00FB5529">
      <w:pPr>
        <w:spacing w:line="360" w:lineRule="auto"/>
        <w:rPr>
          <w:rFonts w:cstheme="minorHAnsi"/>
          <w:b/>
          <w:sz w:val="24"/>
          <w:szCs w:val="24"/>
        </w:rPr>
      </w:pPr>
      <w:r w:rsidRPr="008B4233">
        <w:rPr>
          <w:rFonts w:cstheme="minorHAnsi"/>
          <w:b/>
          <w:sz w:val="24"/>
          <w:szCs w:val="24"/>
        </w:rPr>
        <w:lastRenderedPageBreak/>
        <w:t>Community</w:t>
      </w:r>
    </w:p>
    <w:p w14:paraId="1A2E232E" w14:textId="77777777" w:rsidR="00CB2866" w:rsidRDefault="00A7038C" w:rsidP="00FB5529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</w:t>
      </w:r>
      <w:r w:rsidR="00FB5529">
        <w:rPr>
          <w:rFonts w:cstheme="minorHAnsi"/>
          <w:sz w:val="24"/>
          <w:szCs w:val="24"/>
        </w:rPr>
        <w:t xml:space="preserve">ny decision made in relation to imposing a tax on food and drinks with a high sugar content </w:t>
      </w:r>
      <w:r>
        <w:rPr>
          <w:rFonts w:cstheme="minorHAnsi"/>
          <w:sz w:val="24"/>
          <w:szCs w:val="24"/>
        </w:rPr>
        <w:t xml:space="preserve">will be met with both applause and condemnation. </w:t>
      </w:r>
      <w:r w:rsidR="00CB2866">
        <w:rPr>
          <w:rFonts w:cstheme="minorHAnsi"/>
          <w:sz w:val="24"/>
          <w:szCs w:val="24"/>
        </w:rPr>
        <w:t>There are some steps that can be taken outside the imposition of a tax, including:</w:t>
      </w:r>
    </w:p>
    <w:p w14:paraId="77085A46" w14:textId="77777777" w:rsidR="00CB2866" w:rsidRDefault="00CB2866" w:rsidP="00CB2866">
      <w:pPr>
        <w:numPr>
          <w:ilvl w:val="0"/>
          <w:numId w:val="11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changes to food labelling that clearly identifies sugar and fat content in clear and unambiguous language</w:t>
      </w:r>
      <w:r w:rsidR="005072B2">
        <w:rPr>
          <w:rFonts w:cstheme="minorHAnsi"/>
          <w:sz w:val="24"/>
          <w:szCs w:val="24"/>
        </w:rPr>
        <w:t>.</w:t>
      </w:r>
    </w:p>
    <w:p w14:paraId="167C22F9" w14:textId="77777777" w:rsidR="00CB2866" w:rsidRDefault="00CB2866" w:rsidP="00CB2866">
      <w:pPr>
        <w:numPr>
          <w:ilvl w:val="0"/>
          <w:numId w:val="11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early intervention programs for children, starting in preschool</w:t>
      </w:r>
      <w:r w:rsidR="005072B2">
        <w:rPr>
          <w:rFonts w:cstheme="minorHAnsi"/>
          <w:sz w:val="24"/>
          <w:szCs w:val="24"/>
        </w:rPr>
        <w:t>.</w:t>
      </w:r>
    </w:p>
    <w:p w14:paraId="33566188" w14:textId="77777777" w:rsidR="00CB2866" w:rsidRDefault="00CB2866" w:rsidP="00CB2866">
      <w:pPr>
        <w:numPr>
          <w:ilvl w:val="0"/>
          <w:numId w:val="11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education programs for families and individuals</w:t>
      </w:r>
      <w:r w:rsidR="005072B2">
        <w:rPr>
          <w:rFonts w:cstheme="minorHAnsi"/>
          <w:sz w:val="24"/>
          <w:szCs w:val="24"/>
        </w:rPr>
        <w:t>.</w:t>
      </w:r>
    </w:p>
    <w:p w14:paraId="13E8654B" w14:textId="77777777" w:rsidR="00A7038C" w:rsidRDefault="00A7038C" w:rsidP="00FB5529">
      <w:pPr>
        <w:spacing w:line="360" w:lineRule="auto"/>
        <w:rPr>
          <w:rFonts w:cstheme="minorHAnsi"/>
          <w:sz w:val="24"/>
          <w:szCs w:val="24"/>
        </w:rPr>
      </w:pPr>
    </w:p>
    <w:p w14:paraId="55829B47" w14:textId="77777777" w:rsidR="00A7038C" w:rsidRPr="008B4233" w:rsidRDefault="00A7038C" w:rsidP="00FB5529">
      <w:pPr>
        <w:spacing w:line="360" w:lineRule="auto"/>
        <w:rPr>
          <w:rFonts w:cstheme="minorHAnsi"/>
          <w:b/>
          <w:sz w:val="24"/>
          <w:szCs w:val="24"/>
        </w:rPr>
      </w:pPr>
      <w:r w:rsidRPr="008B4233">
        <w:rPr>
          <w:rFonts w:cstheme="minorHAnsi"/>
          <w:b/>
          <w:sz w:val="24"/>
          <w:szCs w:val="24"/>
        </w:rPr>
        <w:t>Arguments for the affirmative include:</w:t>
      </w:r>
    </w:p>
    <w:p w14:paraId="0E8BD301" w14:textId="77777777" w:rsidR="00A7038C" w:rsidRDefault="00A7038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better health outcomes for children and adults due to reduction in the rates of overweight and obesity</w:t>
      </w:r>
      <w:r w:rsidR="005072B2">
        <w:rPr>
          <w:rFonts w:cstheme="minorHAnsi"/>
          <w:sz w:val="24"/>
          <w:szCs w:val="24"/>
        </w:rPr>
        <w:t>.</w:t>
      </w:r>
    </w:p>
    <w:p w14:paraId="252A8988" w14:textId="77777777" w:rsidR="00A7038C" w:rsidRDefault="00A7038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reduction in rates of type 2 diabetes</w:t>
      </w:r>
      <w:r w:rsidR="005072B2">
        <w:rPr>
          <w:rFonts w:cstheme="minorHAnsi"/>
          <w:sz w:val="24"/>
          <w:szCs w:val="24"/>
        </w:rPr>
        <w:t>.</w:t>
      </w:r>
    </w:p>
    <w:p w14:paraId="6BEAFAC6" w14:textId="77777777" w:rsidR="00A7038C" w:rsidRDefault="00A7038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reduction in poor dental health in children</w:t>
      </w:r>
      <w:r w:rsidR="005072B2">
        <w:rPr>
          <w:rFonts w:cstheme="minorHAnsi"/>
          <w:sz w:val="24"/>
          <w:szCs w:val="24"/>
        </w:rPr>
        <w:t>.</w:t>
      </w:r>
    </w:p>
    <w:p w14:paraId="30A36C00" w14:textId="77777777" w:rsidR="00A7038C" w:rsidRDefault="00A7038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reduction in lost productivity in the economy through improved health outcome in the community</w:t>
      </w:r>
      <w:r w:rsidR="005072B2">
        <w:rPr>
          <w:rFonts w:cstheme="minorHAnsi"/>
          <w:sz w:val="24"/>
          <w:szCs w:val="24"/>
        </w:rPr>
        <w:t>.</w:t>
      </w:r>
    </w:p>
    <w:p w14:paraId="08730F66" w14:textId="77777777" w:rsidR="00A7038C" w:rsidRDefault="00A7038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‘sugar tax’ provides incentive for manufacturers to improve their product formulas and reduce the sugar content to more acceptable levels</w:t>
      </w:r>
      <w:r w:rsidR="008B4233">
        <w:rPr>
          <w:rFonts w:cstheme="minorHAnsi"/>
          <w:sz w:val="24"/>
          <w:szCs w:val="24"/>
        </w:rPr>
        <w:t xml:space="preserve"> (Scarborough et.al., 2020)</w:t>
      </w:r>
      <w:r w:rsidR="005072B2">
        <w:rPr>
          <w:rFonts w:cstheme="minorHAnsi"/>
          <w:sz w:val="24"/>
          <w:szCs w:val="24"/>
        </w:rPr>
        <w:t>.</w:t>
      </w:r>
    </w:p>
    <w:p w14:paraId="412275E6" w14:textId="77777777" w:rsidR="00A7038C" w:rsidRDefault="00A7038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cost per person, per year</w:t>
      </w:r>
      <w:r w:rsidR="00D93C43">
        <w:rPr>
          <w:rFonts w:cstheme="minorHAnsi"/>
          <w:sz w:val="24"/>
          <w:szCs w:val="24"/>
        </w:rPr>
        <w:t xml:space="preserve"> would equate to approximately $20 per year, or less than 40 cents per week (Deakin University, 2017)</w:t>
      </w:r>
      <w:r w:rsidR="005072B2">
        <w:rPr>
          <w:rFonts w:cstheme="minorHAnsi"/>
          <w:sz w:val="24"/>
          <w:szCs w:val="24"/>
        </w:rPr>
        <w:t>.</w:t>
      </w:r>
    </w:p>
    <w:p w14:paraId="6211DB15" w14:textId="77777777" w:rsidR="00D1120C" w:rsidRDefault="00D1120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increase in early intervention programs funded from tax revenues</w:t>
      </w:r>
      <w:r w:rsidR="005072B2">
        <w:rPr>
          <w:rFonts w:cstheme="minorHAnsi"/>
          <w:sz w:val="24"/>
          <w:szCs w:val="24"/>
        </w:rPr>
        <w:t>.</w:t>
      </w:r>
    </w:p>
    <w:p w14:paraId="620EAF5C" w14:textId="77777777" w:rsidR="00D93C43" w:rsidRDefault="00D93C43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increased education on healthy foods and eating</w:t>
      </w:r>
      <w:r w:rsidR="00D1120C">
        <w:rPr>
          <w:rFonts w:cstheme="minorHAnsi"/>
          <w:sz w:val="24"/>
          <w:szCs w:val="24"/>
        </w:rPr>
        <w:t xml:space="preserve"> funded from tax revenues</w:t>
      </w:r>
      <w:r w:rsidR="005072B2">
        <w:rPr>
          <w:rFonts w:cstheme="minorHAnsi"/>
          <w:sz w:val="24"/>
          <w:szCs w:val="24"/>
        </w:rPr>
        <w:t>.</w:t>
      </w:r>
    </w:p>
    <w:p w14:paraId="686A4A7D" w14:textId="77777777" w:rsidR="00D1120C" w:rsidRDefault="00D1120C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increased spending in the health sector funded from tax revenues</w:t>
      </w:r>
      <w:r w:rsidR="005072B2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</w:p>
    <w:p w14:paraId="50B89718" w14:textId="77777777" w:rsidR="00D93C43" w:rsidRDefault="00D93C43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reduction in the burden on the health system</w:t>
      </w:r>
      <w:r w:rsidR="005072B2">
        <w:rPr>
          <w:rFonts w:cstheme="minorHAnsi"/>
          <w:sz w:val="24"/>
          <w:szCs w:val="24"/>
        </w:rPr>
        <w:t>.</w:t>
      </w:r>
    </w:p>
    <w:p w14:paraId="54894CF5" w14:textId="77777777" w:rsidR="00D93C43" w:rsidRDefault="008B4233" w:rsidP="00A7038C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early reporting </w:t>
      </w:r>
      <w:proofErr w:type="gramStart"/>
      <w:r>
        <w:rPr>
          <w:rFonts w:cstheme="minorHAnsi"/>
          <w:sz w:val="24"/>
          <w:szCs w:val="24"/>
        </w:rPr>
        <w:t>have</w:t>
      </w:r>
      <w:proofErr w:type="gramEnd"/>
      <w:r>
        <w:rPr>
          <w:rFonts w:cstheme="minorHAnsi"/>
          <w:sz w:val="24"/>
          <w:szCs w:val="24"/>
        </w:rPr>
        <w:t xml:space="preserve"> shown improvements in health outcomes where </w:t>
      </w:r>
      <w:r w:rsidR="00D93C43">
        <w:rPr>
          <w:rFonts w:cstheme="minorHAnsi"/>
          <w:sz w:val="24"/>
          <w:szCs w:val="24"/>
        </w:rPr>
        <w:t>similar schemes</w:t>
      </w:r>
      <w:r>
        <w:rPr>
          <w:rFonts w:cstheme="minorHAnsi"/>
          <w:sz w:val="24"/>
          <w:szCs w:val="24"/>
        </w:rPr>
        <w:t xml:space="preserve"> have been implemented</w:t>
      </w:r>
      <w:r w:rsidR="005072B2">
        <w:rPr>
          <w:rFonts w:cstheme="minorHAnsi"/>
          <w:sz w:val="24"/>
          <w:szCs w:val="24"/>
        </w:rPr>
        <w:t xml:space="preserve"> in other countries.</w:t>
      </w:r>
    </w:p>
    <w:p w14:paraId="325A39A8" w14:textId="77777777" w:rsidR="00D93C43" w:rsidRPr="005072B2" w:rsidRDefault="005072B2" w:rsidP="00AB5BD3">
      <w:pPr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5072B2">
        <w:rPr>
          <w:rFonts w:cstheme="minorHAnsi"/>
          <w:sz w:val="24"/>
          <w:szCs w:val="24"/>
        </w:rPr>
        <w:t>a ‘sugar tax’ can be justified by applying the same approach used for tobacco and alcohol to support healthcare and education</w:t>
      </w:r>
      <w:r>
        <w:rPr>
          <w:rFonts w:cstheme="minorHAnsi"/>
          <w:sz w:val="24"/>
          <w:szCs w:val="24"/>
        </w:rPr>
        <w:t xml:space="preserve"> (Grattan Institute, 2016).</w:t>
      </w:r>
    </w:p>
    <w:p w14:paraId="4A62B607" w14:textId="77777777" w:rsidR="00CB2866" w:rsidRDefault="00CB286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47EDF5C5" w14:textId="77777777" w:rsidR="00D93C43" w:rsidRPr="008B4233" w:rsidRDefault="00D93C43" w:rsidP="00D93C43">
      <w:pPr>
        <w:spacing w:line="360" w:lineRule="auto"/>
        <w:rPr>
          <w:rFonts w:cstheme="minorHAnsi"/>
          <w:b/>
          <w:sz w:val="24"/>
          <w:szCs w:val="24"/>
        </w:rPr>
      </w:pPr>
      <w:r w:rsidRPr="008B4233">
        <w:rPr>
          <w:rFonts w:cstheme="minorHAnsi"/>
          <w:b/>
          <w:sz w:val="24"/>
          <w:szCs w:val="24"/>
        </w:rPr>
        <w:lastRenderedPageBreak/>
        <w:t>Arguments for the negative include:</w:t>
      </w:r>
    </w:p>
    <w:p w14:paraId="0EFA6E7F" w14:textId="77777777" w:rsidR="00D93C43" w:rsidRDefault="00D93C43" w:rsidP="00D93C43">
      <w:pPr>
        <w:numPr>
          <w:ilvl w:val="0"/>
          <w:numId w:val="10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increased cost of manufacturing will be passed on the consumer</w:t>
      </w:r>
      <w:r w:rsidR="005072B2">
        <w:rPr>
          <w:rFonts w:cstheme="minorHAnsi"/>
          <w:sz w:val="24"/>
          <w:szCs w:val="24"/>
        </w:rPr>
        <w:t>.</w:t>
      </w:r>
    </w:p>
    <w:p w14:paraId="386DAF24" w14:textId="77777777" w:rsidR="00D93C43" w:rsidRDefault="00D93C43" w:rsidP="00D93C43">
      <w:pPr>
        <w:numPr>
          <w:ilvl w:val="0"/>
          <w:numId w:val="10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decreased sales for manufacturers</w:t>
      </w:r>
      <w:r w:rsidR="005072B2">
        <w:rPr>
          <w:rFonts w:cstheme="minorHAnsi"/>
          <w:sz w:val="24"/>
          <w:szCs w:val="24"/>
        </w:rPr>
        <w:t>.</w:t>
      </w:r>
    </w:p>
    <w:p w14:paraId="62E4C9F9" w14:textId="77777777" w:rsidR="00CB2866" w:rsidRDefault="00D93C43" w:rsidP="008B4233">
      <w:pPr>
        <w:numPr>
          <w:ilvl w:val="0"/>
          <w:numId w:val="10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low socio-economic communities are usually the most affected</w:t>
      </w:r>
      <w:r w:rsidR="005072B2">
        <w:rPr>
          <w:rFonts w:cstheme="minorHAnsi"/>
          <w:sz w:val="24"/>
          <w:szCs w:val="24"/>
        </w:rPr>
        <w:t>.</w:t>
      </w:r>
    </w:p>
    <w:p w14:paraId="7E2543BF" w14:textId="77777777" w:rsidR="008B4233" w:rsidRDefault="005072B2" w:rsidP="008B4233">
      <w:pPr>
        <w:numPr>
          <w:ilvl w:val="0"/>
          <w:numId w:val="10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taxing individual ingredients in processed</w:t>
      </w:r>
      <w:r w:rsidR="008F7E92">
        <w:rPr>
          <w:rFonts w:cstheme="minorHAnsi"/>
          <w:sz w:val="24"/>
          <w:szCs w:val="24"/>
        </w:rPr>
        <w:t xml:space="preserve"> foods</w:t>
      </w:r>
      <w:r>
        <w:rPr>
          <w:rFonts w:cstheme="minorHAnsi"/>
          <w:sz w:val="24"/>
          <w:szCs w:val="24"/>
        </w:rPr>
        <w:t xml:space="preserve"> is problematic and may also capture nutritious foods.</w:t>
      </w:r>
    </w:p>
    <w:p w14:paraId="76A504F9" w14:textId="77777777" w:rsidR="008F7E92" w:rsidRDefault="008F7E92" w:rsidP="008B4233">
      <w:pPr>
        <w:numPr>
          <w:ilvl w:val="0"/>
          <w:numId w:val="10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Obesity and overweight have many contributing factors that are not limited to the consumption of sugar and fat.</w:t>
      </w:r>
    </w:p>
    <w:p w14:paraId="33BCB7C6" w14:textId="77777777" w:rsidR="008B4233" w:rsidRDefault="008B4233" w:rsidP="008B4233">
      <w:pPr>
        <w:spacing w:line="360" w:lineRule="auto"/>
        <w:rPr>
          <w:rFonts w:cstheme="minorHAnsi"/>
          <w:sz w:val="24"/>
          <w:szCs w:val="24"/>
        </w:rPr>
      </w:pPr>
    </w:p>
    <w:p w14:paraId="69E2EF62" w14:textId="77777777" w:rsidR="008B4233" w:rsidRDefault="008B4233" w:rsidP="008B4233">
      <w:pPr>
        <w:spacing w:line="360" w:lineRule="auto"/>
        <w:rPr>
          <w:rFonts w:cstheme="minorHAnsi"/>
          <w:sz w:val="24"/>
          <w:szCs w:val="24"/>
        </w:rPr>
      </w:pPr>
    </w:p>
    <w:p w14:paraId="4206753E" w14:textId="77777777" w:rsidR="008B4233" w:rsidRDefault="008B4233" w:rsidP="008B4233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Recommendations:</w:t>
      </w:r>
    </w:p>
    <w:p w14:paraId="0CCCA1EB" w14:textId="77777777" w:rsidR="008B4233" w:rsidRDefault="008B4233" w:rsidP="008F7E92">
      <w:pPr>
        <w:spacing w:line="360" w:lineRule="auto"/>
        <w:rPr>
          <w:rFonts w:cstheme="minorHAnsi"/>
          <w:sz w:val="24"/>
          <w:szCs w:val="24"/>
        </w:rPr>
      </w:pPr>
    </w:p>
    <w:p w14:paraId="216C7868" w14:textId="77777777" w:rsidR="00B45E29" w:rsidRPr="00B45E29" w:rsidRDefault="008F7E92" w:rsidP="00B45E29">
      <w:pPr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Federal Government consider the implementation of </w:t>
      </w:r>
      <w:r w:rsidR="00B45E29">
        <w:rPr>
          <w:rFonts w:cstheme="minorHAnsi"/>
          <w:sz w:val="24"/>
          <w:szCs w:val="24"/>
        </w:rPr>
        <w:t>sliding scale taxes to a maximum of</w:t>
      </w:r>
      <w:r>
        <w:rPr>
          <w:rFonts w:cstheme="minorHAnsi"/>
          <w:sz w:val="24"/>
          <w:szCs w:val="24"/>
        </w:rPr>
        <w:t xml:space="preserve"> 12.5</w:t>
      </w:r>
      <w:r w:rsidR="00B45E29">
        <w:rPr>
          <w:rFonts w:cstheme="minorHAnsi"/>
          <w:sz w:val="24"/>
          <w:szCs w:val="24"/>
        </w:rPr>
        <w:t>% on sugar in water-base beverages only, such as the system currently applied in the UK.</w:t>
      </w:r>
    </w:p>
    <w:p w14:paraId="595404EC" w14:textId="77777777" w:rsidR="00B45E29" w:rsidRDefault="00B45E29" w:rsidP="008F7E92">
      <w:pPr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Sugar content in foods to be addressed separately due to the complexity of identifying, measuring and reporting.</w:t>
      </w:r>
    </w:p>
    <w:p w14:paraId="074DB518" w14:textId="77777777" w:rsidR="00B45E29" w:rsidRDefault="00B45E29" w:rsidP="008F7E92">
      <w:pPr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Encourage manufacturers to modify their products to reduce the sugar content and lower their tax obligations.</w:t>
      </w:r>
    </w:p>
    <w:p w14:paraId="4B2907A6" w14:textId="77777777" w:rsidR="00B45E29" w:rsidRDefault="00B45E29" w:rsidP="008F7E92">
      <w:pPr>
        <w:numPr>
          <w:ilvl w:val="0"/>
          <w:numId w:val="13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Implement an awareness campaign on the benefits of reducing the intake of energy dense, nutrient poor foods</w:t>
      </w:r>
      <w:r w:rsidR="007E1605">
        <w:rPr>
          <w:rFonts w:cstheme="minorHAnsi"/>
          <w:sz w:val="24"/>
          <w:szCs w:val="24"/>
        </w:rPr>
        <w:t>.</w:t>
      </w:r>
    </w:p>
    <w:p w14:paraId="00175269" w14:textId="77777777" w:rsidR="007E1605" w:rsidRPr="008B4233" w:rsidRDefault="007E1605" w:rsidP="007E1605">
      <w:pPr>
        <w:spacing w:line="360" w:lineRule="auto"/>
        <w:ind w:left="720"/>
        <w:rPr>
          <w:rFonts w:cstheme="minorHAnsi"/>
          <w:sz w:val="24"/>
          <w:szCs w:val="24"/>
        </w:rPr>
      </w:pPr>
    </w:p>
    <w:p w14:paraId="19C1373A" w14:textId="77777777" w:rsidR="00DF077E" w:rsidRDefault="00DF077E" w:rsidP="008B4233">
      <w:pPr>
        <w:spacing w:line="360" w:lineRule="auto"/>
        <w:rPr>
          <w:rFonts w:cstheme="minorHAnsi"/>
          <w:sz w:val="24"/>
          <w:szCs w:val="24"/>
        </w:rPr>
      </w:pPr>
    </w:p>
    <w:p w14:paraId="24705E93" w14:textId="77777777" w:rsidR="00D93C43" w:rsidRDefault="00D93C43" w:rsidP="00D93C43">
      <w:pPr>
        <w:spacing w:line="360" w:lineRule="auto"/>
        <w:rPr>
          <w:rFonts w:cstheme="minorHAnsi"/>
          <w:sz w:val="24"/>
          <w:szCs w:val="24"/>
        </w:rPr>
      </w:pPr>
    </w:p>
    <w:p w14:paraId="05E8FEDF" w14:textId="77777777" w:rsidR="00852EA7" w:rsidRDefault="00852EA7" w:rsidP="00FB5529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</w:p>
    <w:p w14:paraId="56866DA1" w14:textId="77777777" w:rsidR="00E54CC4" w:rsidRDefault="00E54CC4" w:rsidP="00E54CC4">
      <w:pPr>
        <w:spacing w:line="360" w:lineRule="auto"/>
        <w:jc w:val="both"/>
        <w:rPr>
          <w:sz w:val="24"/>
          <w:szCs w:val="24"/>
        </w:rPr>
      </w:pPr>
    </w:p>
    <w:p w14:paraId="7E28914D" w14:textId="77777777" w:rsidR="00D873D1" w:rsidRDefault="00D873D1" w:rsidP="00E31467">
      <w:pPr>
        <w:spacing w:line="360" w:lineRule="auto"/>
        <w:jc w:val="both"/>
        <w:rPr>
          <w:sz w:val="24"/>
          <w:szCs w:val="24"/>
        </w:rPr>
      </w:pPr>
    </w:p>
    <w:p w14:paraId="755B32AD" w14:textId="77777777" w:rsidR="00D873D1" w:rsidRDefault="00D873D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6B412DB" w14:textId="77777777" w:rsidR="00D873D1" w:rsidRDefault="00D873D1" w:rsidP="00E31467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References:</w:t>
      </w:r>
    </w:p>
    <w:p w14:paraId="054426B7" w14:textId="77777777" w:rsidR="00D873D1" w:rsidRDefault="00D873D1" w:rsidP="00D873D1">
      <w:pPr>
        <w:spacing w:line="360" w:lineRule="auto"/>
        <w:ind w:left="851" w:hanging="851"/>
        <w:jc w:val="both"/>
        <w:rPr>
          <w:rFonts w:cstheme="minorHAnsi"/>
          <w:sz w:val="24"/>
          <w:szCs w:val="24"/>
        </w:rPr>
      </w:pPr>
    </w:p>
    <w:p w14:paraId="228DF514" w14:textId="77777777" w:rsidR="00D873D1" w:rsidRPr="00D873D1" w:rsidRDefault="00D873D1" w:rsidP="00D873D1">
      <w:pPr>
        <w:spacing w:line="360" w:lineRule="auto"/>
        <w:ind w:left="851" w:hanging="85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Australian Bureau of Statistics. (2018). </w:t>
      </w:r>
      <w:r w:rsidRPr="00D873D1">
        <w:rPr>
          <w:rFonts w:cstheme="minorHAnsi"/>
          <w:i/>
          <w:sz w:val="24"/>
          <w:szCs w:val="24"/>
        </w:rPr>
        <w:t>National health survey: First results.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i/>
          <w:sz w:val="24"/>
          <w:szCs w:val="24"/>
        </w:rPr>
        <w:t xml:space="preserve">Overweight and obesity. </w:t>
      </w:r>
      <w:r>
        <w:rPr>
          <w:rFonts w:cstheme="minorHAnsi"/>
          <w:sz w:val="24"/>
          <w:szCs w:val="24"/>
        </w:rPr>
        <w:t xml:space="preserve">(No. 4364.0.55.001). </w:t>
      </w:r>
      <w:hyperlink r:id="rId10" w:history="1">
        <w:r w:rsidRPr="00D873D1">
          <w:rPr>
            <w:rStyle w:val="Hyperlink"/>
            <w:color w:val="auto"/>
            <w:sz w:val="24"/>
            <w:szCs w:val="24"/>
            <w:u w:val="none"/>
          </w:rPr>
          <w:t>https://www.abs.gov.au/ausstats/abs@.nsf/Lookup/by%20Subject/4364.0.55.001~2017-18~Main%20Features~Overweight%20and%20obesity~90</w:t>
        </w:r>
      </w:hyperlink>
    </w:p>
    <w:p w14:paraId="3AFFB564" w14:textId="77777777" w:rsidR="00D873D1" w:rsidRPr="00D873D1" w:rsidRDefault="00D873D1" w:rsidP="00D873D1">
      <w:pPr>
        <w:spacing w:line="360" w:lineRule="auto"/>
        <w:ind w:left="851" w:hanging="851"/>
        <w:rPr>
          <w:rFonts w:cstheme="minorHAnsi"/>
          <w:sz w:val="24"/>
          <w:szCs w:val="24"/>
        </w:rPr>
      </w:pPr>
    </w:p>
    <w:p w14:paraId="7EDE8ED9" w14:textId="77777777" w:rsidR="00B1695F" w:rsidRPr="00B1695F" w:rsidRDefault="00B1695F" w:rsidP="00B1695F">
      <w:pPr>
        <w:ind w:left="851" w:hanging="851"/>
        <w:rPr>
          <w:rFonts w:eastAsia="Times New Roman" w:cstheme="minorHAnsi"/>
          <w:sz w:val="24"/>
          <w:szCs w:val="24"/>
          <w:lang w:eastAsia="en-AU"/>
        </w:rPr>
      </w:pPr>
      <w:r>
        <w:rPr>
          <w:rFonts w:cstheme="minorHAnsi"/>
          <w:sz w:val="24"/>
          <w:szCs w:val="24"/>
        </w:rPr>
        <w:t xml:space="preserve">Australian Institute of Health and Welfare. (2018). </w:t>
      </w:r>
      <w:r>
        <w:rPr>
          <w:rFonts w:cstheme="minorHAnsi"/>
          <w:i/>
          <w:sz w:val="24"/>
          <w:szCs w:val="24"/>
        </w:rPr>
        <w:t>Australia’s health</w:t>
      </w:r>
      <w:r w:rsidR="007531A3">
        <w:rPr>
          <w:rFonts w:cstheme="minorHAnsi"/>
          <w:i/>
          <w:sz w:val="24"/>
          <w:szCs w:val="24"/>
        </w:rPr>
        <w:t xml:space="preserve"> 2018: In brief</w:t>
      </w:r>
      <w:r>
        <w:rPr>
          <w:rFonts w:cstheme="minorHAnsi"/>
          <w:i/>
          <w:sz w:val="24"/>
          <w:szCs w:val="24"/>
        </w:rPr>
        <w:t>.</w:t>
      </w:r>
      <w:r w:rsidR="007531A3">
        <w:rPr>
          <w:rFonts w:cstheme="minorHAnsi"/>
          <w:i/>
          <w:sz w:val="24"/>
          <w:szCs w:val="24"/>
        </w:rPr>
        <w:t xml:space="preserve"> </w:t>
      </w:r>
      <w:r w:rsidR="007531A3">
        <w:rPr>
          <w:rFonts w:cstheme="minorHAnsi"/>
          <w:sz w:val="24"/>
          <w:szCs w:val="24"/>
        </w:rPr>
        <w:t>Cat. no. AUS</w:t>
      </w:r>
      <w:proofErr w:type="gramStart"/>
      <w:r w:rsidR="007531A3">
        <w:rPr>
          <w:rFonts w:cstheme="minorHAnsi"/>
          <w:sz w:val="24"/>
          <w:szCs w:val="24"/>
        </w:rPr>
        <w:t>222</w:t>
      </w:r>
      <w:r>
        <w:rPr>
          <w:rFonts w:cstheme="minorHAnsi"/>
          <w:i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B1695F">
        <w:rPr>
          <w:rFonts w:cstheme="minorHAnsi"/>
          <w:sz w:val="24"/>
          <w:szCs w:val="24"/>
        </w:rPr>
        <w:t>https</w:t>
      </w:r>
      <w:proofErr w:type="gramEnd"/>
      <w:r w:rsidRPr="00B1695F">
        <w:rPr>
          <w:rFonts w:cstheme="minorHAnsi"/>
          <w:sz w:val="24"/>
          <w:szCs w:val="24"/>
        </w:rPr>
        <w:t>://</w:t>
      </w:r>
      <w:r w:rsidRPr="00B1695F">
        <w:rPr>
          <w:rFonts w:eastAsia="Times New Roman" w:cstheme="minorHAnsi"/>
          <w:sz w:val="24"/>
          <w:szCs w:val="24"/>
          <w:lang w:eastAsia="en-AU"/>
        </w:rPr>
        <w:fldChar w:fldCharType="begin"/>
      </w:r>
      <w:r w:rsidRPr="00B1695F">
        <w:rPr>
          <w:rFonts w:eastAsia="Times New Roman" w:cstheme="minorHAnsi"/>
          <w:sz w:val="24"/>
          <w:szCs w:val="24"/>
          <w:lang w:eastAsia="en-AU"/>
        </w:rPr>
        <w:instrText xml:space="preserve"> HYPERLINK "http://www.aihw.gov.au/getmedia/aihw-aus-222.pdf.aspx</w:instrText>
      </w:r>
    </w:p>
    <w:p w14:paraId="3B1B0CA6" w14:textId="77777777" w:rsidR="00B1695F" w:rsidRPr="00B1695F" w:rsidRDefault="00B1695F" w:rsidP="00B1695F">
      <w:pPr>
        <w:ind w:left="851" w:hanging="851"/>
        <w:rPr>
          <w:rStyle w:val="Hyperlink"/>
          <w:rFonts w:eastAsia="Times New Roman" w:cstheme="minorHAnsi"/>
          <w:color w:val="auto"/>
          <w:sz w:val="24"/>
          <w:szCs w:val="24"/>
          <w:u w:val="none"/>
          <w:lang w:eastAsia="en-AU"/>
        </w:rPr>
      </w:pPr>
      <w:r w:rsidRPr="00B1695F">
        <w:rPr>
          <w:rFonts w:eastAsia="Times New Roman" w:cstheme="minorHAnsi"/>
          <w:sz w:val="24"/>
          <w:szCs w:val="24"/>
          <w:lang w:eastAsia="en-AU"/>
        </w:rPr>
        <w:instrText xml:space="preserve">" </w:instrText>
      </w:r>
      <w:r w:rsidRPr="00B1695F">
        <w:rPr>
          <w:rFonts w:eastAsia="Times New Roman" w:cstheme="minorHAnsi"/>
          <w:sz w:val="24"/>
          <w:szCs w:val="24"/>
          <w:lang w:eastAsia="en-AU"/>
        </w:rPr>
        <w:fldChar w:fldCharType="separate"/>
      </w:r>
      <w:r w:rsidRPr="00B1695F">
        <w:rPr>
          <w:rStyle w:val="Hyperlink"/>
          <w:rFonts w:eastAsia="Times New Roman" w:cstheme="minorHAnsi"/>
          <w:color w:val="auto"/>
          <w:sz w:val="24"/>
          <w:szCs w:val="24"/>
          <w:u w:val="none"/>
          <w:lang w:eastAsia="en-AU"/>
        </w:rPr>
        <w:t>www.aihw.gov.au/getmedia/aihw-aus-222.pdf.aspx</w:t>
      </w:r>
    </w:p>
    <w:p w14:paraId="17C112DA" w14:textId="77777777" w:rsidR="00B1695F" w:rsidRDefault="00B1695F" w:rsidP="00B1695F">
      <w:pPr>
        <w:spacing w:line="240" w:lineRule="auto"/>
        <w:ind w:left="851" w:hanging="851"/>
        <w:rPr>
          <w:rFonts w:cstheme="minorHAnsi"/>
          <w:sz w:val="24"/>
          <w:szCs w:val="24"/>
        </w:rPr>
      </w:pPr>
      <w:r w:rsidRPr="00B1695F">
        <w:rPr>
          <w:rFonts w:eastAsia="Times New Roman" w:cstheme="minorHAnsi"/>
          <w:sz w:val="24"/>
          <w:szCs w:val="24"/>
          <w:lang w:eastAsia="en-AU"/>
        </w:rPr>
        <w:fldChar w:fldCharType="end"/>
      </w:r>
    </w:p>
    <w:p w14:paraId="64FCE0CD" w14:textId="77777777" w:rsidR="00D93C43" w:rsidRDefault="00D93C43" w:rsidP="00D93C4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inherit" w:hAnsi="inherit" w:cs="Arial"/>
          <w:color w:val="343434"/>
          <w:bdr w:val="none" w:sz="0" w:space="0" w:color="auto" w:frame="1"/>
        </w:rPr>
      </w:pPr>
    </w:p>
    <w:p w14:paraId="54490DBC" w14:textId="77777777" w:rsidR="00D93C43" w:rsidRPr="00D93C43" w:rsidRDefault="00D93C43" w:rsidP="00D93C43">
      <w:pPr>
        <w:pStyle w:val="NormalWeb"/>
        <w:shd w:val="clear" w:color="auto" w:fill="FFFFFF"/>
        <w:spacing w:before="0" w:beforeAutospacing="0" w:after="0" w:afterAutospacing="0" w:line="360" w:lineRule="auto"/>
        <w:ind w:left="851" w:hanging="851"/>
        <w:textAlignment w:val="baseline"/>
        <w:rPr>
          <w:rFonts w:asciiTheme="minorHAnsi" w:hAnsiTheme="minorHAnsi" w:cstheme="minorHAnsi"/>
          <w:color w:val="343434"/>
        </w:rPr>
      </w:pPr>
      <w:r w:rsidRPr="00D93C43">
        <w:rPr>
          <w:rFonts w:asciiTheme="minorHAnsi" w:hAnsiTheme="minorHAnsi" w:cstheme="minorHAnsi"/>
          <w:color w:val="343434"/>
          <w:bdr w:val="none" w:sz="0" w:space="0" w:color="auto" w:frame="1"/>
        </w:rPr>
        <w:t>Deakin University (2017). Study shows sugar tax would benefit low income groups. Sourced from: </w:t>
      </w:r>
      <w:hyperlink r:id="rId11" w:history="1">
        <w:r w:rsidRPr="00D93C43">
          <w:rPr>
            <w:rStyle w:val="Hyperlink"/>
            <w:rFonts w:asciiTheme="minorHAnsi" w:hAnsiTheme="minorHAnsi" w:cstheme="minorHAnsi"/>
            <w:color w:val="000000"/>
            <w:u w:val="none"/>
            <w:bdr w:val="none" w:sz="0" w:space="0" w:color="auto" w:frame="1"/>
          </w:rPr>
          <w:t>https://www.deakin.edu.au/about-deakin/media-releases/articles/study-shows-sugar-tax-would-benefit-low-income-groups</w:t>
        </w:r>
      </w:hyperlink>
    </w:p>
    <w:p w14:paraId="11A0C967" w14:textId="77777777" w:rsidR="00D93C43" w:rsidRDefault="00D93C43" w:rsidP="00D93C43">
      <w:pPr>
        <w:spacing w:line="360" w:lineRule="auto"/>
        <w:ind w:left="851" w:hanging="85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14:paraId="605B41AB" w14:textId="77777777" w:rsidR="005072B2" w:rsidRDefault="00CA192A" w:rsidP="00D93C43">
      <w:pPr>
        <w:spacing w:line="360" w:lineRule="auto"/>
        <w:ind w:left="851" w:hanging="85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Duckett, S</w:t>
      </w:r>
      <w:r w:rsidR="00E26DF3">
        <w:rPr>
          <w:rFonts w:cstheme="minorHAnsi"/>
          <w:sz w:val="24"/>
          <w:szCs w:val="24"/>
        </w:rPr>
        <w:t xml:space="preserve">. &amp; </w:t>
      </w:r>
      <w:proofErr w:type="spellStart"/>
      <w:r w:rsidR="00E26DF3">
        <w:rPr>
          <w:rFonts w:cstheme="minorHAnsi"/>
          <w:sz w:val="24"/>
          <w:szCs w:val="24"/>
        </w:rPr>
        <w:t>Swerissen</w:t>
      </w:r>
      <w:proofErr w:type="spellEnd"/>
      <w:r w:rsidR="00E26DF3">
        <w:rPr>
          <w:rFonts w:cstheme="minorHAnsi"/>
          <w:sz w:val="24"/>
          <w:szCs w:val="24"/>
        </w:rPr>
        <w:t xml:space="preserve">, H. (2016). </w:t>
      </w:r>
      <w:r w:rsidR="00E26DF3">
        <w:rPr>
          <w:rFonts w:cstheme="minorHAnsi"/>
          <w:i/>
          <w:sz w:val="24"/>
          <w:szCs w:val="24"/>
        </w:rPr>
        <w:t xml:space="preserve">A sugary drinks tax: Recovering the community cost of obesity. </w:t>
      </w:r>
      <w:r w:rsidR="00E26DF3">
        <w:rPr>
          <w:rFonts w:cstheme="minorHAnsi"/>
          <w:sz w:val="24"/>
          <w:szCs w:val="24"/>
        </w:rPr>
        <w:t>Grattan Institute.</w:t>
      </w:r>
      <w:r w:rsidR="005072B2">
        <w:rPr>
          <w:rFonts w:cstheme="minorHAnsi"/>
          <w:sz w:val="24"/>
          <w:szCs w:val="24"/>
        </w:rPr>
        <w:t xml:space="preserve"> https://grattan.edu.au/report/a-sugary-drinks-tax-recovering-the-community-costs/</w:t>
      </w:r>
    </w:p>
    <w:p w14:paraId="27F32160" w14:textId="77777777" w:rsidR="005072B2" w:rsidRDefault="005072B2" w:rsidP="00D93C43">
      <w:pPr>
        <w:spacing w:line="360" w:lineRule="auto"/>
        <w:ind w:left="851" w:hanging="851"/>
        <w:rPr>
          <w:rFonts w:cstheme="minorHAnsi"/>
          <w:sz w:val="24"/>
          <w:szCs w:val="24"/>
        </w:rPr>
      </w:pPr>
    </w:p>
    <w:p w14:paraId="35543B10" w14:textId="77777777" w:rsidR="00FF1009" w:rsidRPr="00FF1009" w:rsidRDefault="00FF1009" w:rsidP="00D873D1">
      <w:pPr>
        <w:spacing w:line="360" w:lineRule="auto"/>
        <w:ind w:left="851" w:hanging="851"/>
        <w:rPr>
          <w:rFonts w:cstheme="minorHAnsi"/>
          <w:i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Liberal Party of Australia. (2002). </w:t>
      </w:r>
      <w:r>
        <w:rPr>
          <w:rFonts w:cstheme="minorHAnsi"/>
          <w:i/>
          <w:sz w:val="24"/>
          <w:szCs w:val="24"/>
        </w:rPr>
        <w:t>Federal platform.</w:t>
      </w:r>
      <w:r w:rsidRPr="00FF1009">
        <w:rPr>
          <w:rFonts w:cstheme="minorHAnsi"/>
          <w:i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hyperlink r:id="rId12" w:history="1">
        <w:r w:rsidRPr="00FF1009">
          <w:rPr>
            <w:rStyle w:val="Hyperlink"/>
            <w:color w:val="auto"/>
            <w:sz w:val="24"/>
            <w:szCs w:val="24"/>
            <w:u w:val="none"/>
          </w:rPr>
          <w:t>https://www.liberal.org.au/our-beliefs</w:t>
        </w:r>
      </w:hyperlink>
    </w:p>
    <w:p w14:paraId="7B6AB0D2" w14:textId="77777777" w:rsidR="00FF1009" w:rsidRPr="00FF1009" w:rsidRDefault="00FF1009" w:rsidP="00D873D1">
      <w:pPr>
        <w:spacing w:line="360" w:lineRule="auto"/>
        <w:ind w:left="851" w:hanging="851"/>
        <w:rPr>
          <w:rFonts w:cstheme="minorHAnsi"/>
          <w:sz w:val="24"/>
          <w:szCs w:val="24"/>
        </w:rPr>
      </w:pPr>
    </w:p>
    <w:p w14:paraId="470E6A97" w14:textId="77777777" w:rsidR="00D2225F" w:rsidRPr="00D873D1" w:rsidRDefault="00D873D1" w:rsidP="00D873D1">
      <w:pPr>
        <w:spacing w:line="360" w:lineRule="auto"/>
        <w:ind w:left="851" w:hanging="851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Obesity Policy Coalition (n.d.). Other policies and laws. </w:t>
      </w:r>
      <w:hyperlink r:id="rId13" w:history="1">
        <w:r w:rsidRPr="00D873D1">
          <w:rPr>
            <w:rStyle w:val="Hyperlink"/>
            <w:rFonts w:cstheme="minorHAnsi"/>
            <w:color w:val="auto"/>
            <w:sz w:val="24"/>
            <w:szCs w:val="24"/>
            <w:u w:val="none"/>
          </w:rPr>
          <w:t>https://www.opc.org.au/downloads/policy-briefs/overweight-obesity-and-chronic-disease-</w:t>
        </w:r>
        <w:r w:rsidRPr="00D873D1">
          <w:rPr>
            <w:rStyle w:val="Hyperlink"/>
            <w:color w:val="auto"/>
            <w:sz w:val="24"/>
            <w:szCs w:val="24"/>
            <w:u w:val="none"/>
          </w:rPr>
          <w:t>in-australia.pdf</w:t>
        </w:r>
      </w:hyperlink>
    </w:p>
    <w:p w14:paraId="0F1BF7E7" w14:textId="77777777" w:rsidR="00D873D1" w:rsidRPr="00D873D1" w:rsidRDefault="00D873D1" w:rsidP="00D873D1">
      <w:pPr>
        <w:spacing w:line="360" w:lineRule="auto"/>
        <w:ind w:left="851" w:hanging="851"/>
        <w:rPr>
          <w:sz w:val="24"/>
          <w:szCs w:val="24"/>
        </w:rPr>
      </w:pPr>
    </w:p>
    <w:p w14:paraId="3F02129D" w14:textId="77777777" w:rsidR="00D873D1" w:rsidRPr="00441073" w:rsidRDefault="00441073" w:rsidP="00DA5FE3">
      <w:pPr>
        <w:autoSpaceDE w:val="0"/>
        <w:autoSpaceDN w:val="0"/>
        <w:adjustRightInd w:val="0"/>
        <w:spacing w:line="360" w:lineRule="auto"/>
        <w:ind w:left="851" w:hanging="851"/>
        <w:rPr>
          <w:rFonts w:cstheme="minorHAnsi"/>
          <w:sz w:val="24"/>
          <w:szCs w:val="24"/>
        </w:rPr>
      </w:pPr>
      <w:r w:rsidRPr="00441073">
        <w:rPr>
          <w:rFonts w:cstheme="minorHAnsi"/>
          <w:sz w:val="24"/>
          <w:szCs w:val="24"/>
        </w:rPr>
        <w:t xml:space="preserve">Scarborough, P., Adhikari, V., Harrington, R. A., </w:t>
      </w:r>
      <w:proofErr w:type="spellStart"/>
      <w:r w:rsidRPr="00441073">
        <w:rPr>
          <w:rFonts w:cstheme="minorHAnsi"/>
          <w:sz w:val="24"/>
          <w:szCs w:val="24"/>
        </w:rPr>
        <w:t>Elhussein</w:t>
      </w:r>
      <w:proofErr w:type="spellEnd"/>
      <w:r w:rsidRPr="00441073">
        <w:rPr>
          <w:rFonts w:cstheme="minorHAnsi"/>
          <w:sz w:val="24"/>
          <w:szCs w:val="24"/>
        </w:rPr>
        <w:t xml:space="preserve">, A., Briggs, A., Rayner, M., Adams, J., Cummins, S., Penney, T., &amp; White. M. (2020). Impact of the announcement and implementation of the UK soft drinks industry levy on sugar content, price, product size and number of available soft drinks in the UK, 2015-19: A controlled interrupted time series analysis. </w:t>
      </w:r>
      <w:r w:rsidRPr="00441073">
        <w:rPr>
          <w:rFonts w:cstheme="minorHAnsi"/>
          <w:i/>
          <w:sz w:val="24"/>
          <w:szCs w:val="24"/>
        </w:rPr>
        <w:t>PLOS Medicine, 17</w:t>
      </w:r>
      <w:r w:rsidRPr="00441073">
        <w:rPr>
          <w:rFonts w:cstheme="minorHAnsi"/>
          <w:sz w:val="24"/>
          <w:szCs w:val="24"/>
        </w:rPr>
        <w:t>(2). 1-19. https://doi.org/10.1371/journal.pmed.1003025</w:t>
      </w:r>
    </w:p>
    <w:sectPr w:rsidR="00D873D1" w:rsidRPr="00441073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05492A" w14:textId="77777777" w:rsidR="00325282" w:rsidRDefault="00325282" w:rsidP="00E31467">
      <w:pPr>
        <w:spacing w:line="240" w:lineRule="auto"/>
      </w:pPr>
      <w:r>
        <w:separator/>
      </w:r>
    </w:p>
  </w:endnote>
  <w:endnote w:type="continuationSeparator" w:id="0">
    <w:p w14:paraId="6ADC1AC5" w14:textId="77777777" w:rsidR="00325282" w:rsidRDefault="00325282" w:rsidP="00E314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Gotham Narrow Book">
    <w:altName w:val="Gotham Narrow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2268010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5CAE8A1" w14:textId="77777777" w:rsidR="00E31467" w:rsidRDefault="00E31467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1605">
          <w:rPr>
            <w:noProof/>
          </w:rPr>
          <w:t>5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44B6818" w14:textId="77777777" w:rsidR="00E31467" w:rsidRDefault="00E31467" w:rsidP="00E31467">
    <w:pPr>
      <w:pStyle w:val="Footer"/>
      <w:tabs>
        <w:tab w:val="clear" w:pos="4513"/>
        <w:tab w:val="clear" w:pos="9026"/>
        <w:tab w:val="left" w:pos="802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42E3C8" w14:textId="77777777" w:rsidR="00325282" w:rsidRDefault="00325282" w:rsidP="00E31467">
      <w:pPr>
        <w:spacing w:line="240" w:lineRule="auto"/>
      </w:pPr>
      <w:r>
        <w:separator/>
      </w:r>
    </w:p>
  </w:footnote>
  <w:footnote w:type="continuationSeparator" w:id="0">
    <w:p w14:paraId="514B9AEE" w14:textId="77777777" w:rsidR="00325282" w:rsidRDefault="00325282" w:rsidP="00E314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67196" w14:textId="77777777" w:rsidR="00E31467" w:rsidRPr="00E31467" w:rsidRDefault="00E31467" w:rsidP="00E31467">
    <w:pPr>
      <w:pStyle w:val="Header"/>
      <w:jc w:val="right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A1C7A"/>
    <w:multiLevelType w:val="hybridMultilevel"/>
    <w:tmpl w:val="635E7B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791AE2"/>
    <w:multiLevelType w:val="hybridMultilevel"/>
    <w:tmpl w:val="AF5CE8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0B895B"/>
    <w:multiLevelType w:val="hybridMultilevel"/>
    <w:tmpl w:val="CCE1761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0B54E37"/>
    <w:multiLevelType w:val="hybridMultilevel"/>
    <w:tmpl w:val="CDA23F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B20EBD"/>
    <w:multiLevelType w:val="hybridMultilevel"/>
    <w:tmpl w:val="42CAA5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06139"/>
    <w:multiLevelType w:val="hybridMultilevel"/>
    <w:tmpl w:val="3BAA7D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266DE"/>
    <w:multiLevelType w:val="hybridMultilevel"/>
    <w:tmpl w:val="5C1C08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CA5517"/>
    <w:multiLevelType w:val="hybridMultilevel"/>
    <w:tmpl w:val="4FD4DF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161379"/>
    <w:multiLevelType w:val="multilevel"/>
    <w:tmpl w:val="7416D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53F6149"/>
    <w:multiLevelType w:val="hybridMultilevel"/>
    <w:tmpl w:val="E760E6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08004A"/>
    <w:multiLevelType w:val="multilevel"/>
    <w:tmpl w:val="154C821A"/>
    <w:lvl w:ilvl="0">
      <w:start w:val="1"/>
      <w:numFmt w:val="decimal"/>
      <w:lvlText w:val="(%1)"/>
      <w:lvlJc w:val="left"/>
      <w:pPr>
        <w:ind w:left="1758" w:hanging="681"/>
      </w:pPr>
      <w:rPr>
        <w:rFonts w:asciiTheme="minorHAnsi" w:hAnsiTheme="minorHAnsi" w:cs="Arial" w:hint="default"/>
        <w:sz w:val="24"/>
      </w:rPr>
    </w:lvl>
    <w:lvl w:ilvl="1">
      <w:start w:val="1"/>
      <w:numFmt w:val="lowerLetter"/>
      <w:lvlText w:val="(%2)"/>
      <w:lvlJc w:val="left"/>
      <w:pPr>
        <w:ind w:left="2353" w:hanging="594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2920" w:hanging="566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206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6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92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8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4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006" w:hanging="360"/>
      </w:pPr>
      <w:rPr>
        <w:rFonts w:hint="default"/>
      </w:rPr>
    </w:lvl>
  </w:abstractNum>
  <w:abstractNum w:abstractNumId="11" w15:restartNumberingAfterBreak="0">
    <w:nsid w:val="721C7044"/>
    <w:multiLevelType w:val="multilevel"/>
    <w:tmpl w:val="0C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7B7B70DD"/>
    <w:multiLevelType w:val="hybridMultilevel"/>
    <w:tmpl w:val="506E0B8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7"/>
  </w:num>
  <w:num w:numId="9">
    <w:abstractNumId w:val="4"/>
  </w:num>
  <w:num w:numId="10">
    <w:abstractNumId w:val="6"/>
  </w:num>
  <w:num w:numId="11">
    <w:abstractNumId w:val="0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467"/>
    <w:rsid w:val="00182A46"/>
    <w:rsid w:val="00323171"/>
    <w:rsid w:val="00325282"/>
    <w:rsid w:val="003858A1"/>
    <w:rsid w:val="003A1855"/>
    <w:rsid w:val="00441073"/>
    <w:rsid w:val="005072B2"/>
    <w:rsid w:val="00576B70"/>
    <w:rsid w:val="0063626A"/>
    <w:rsid w:val="00680206"/>
    <w:rsid w:val="006A7384"/>
    <w:rsid w:val="00715959"/>
    <w:rsid w:val="00751CBB"/>
    <w:rsid w:val="007531A3"/>
    <w:rsid w:val="007E1605"/>
    <w:rsid w:val="00815D42"/>
    <w:rsid w:val="00852EA7"/>
    <w:rsid w:val="008B4233"/>
    <w:rsid w:val="008F7E92"/>
    <w:rsid w:val="00904864"/>
    <w:rsid w:val="00A62778"/>
    <w:rsid w:val="00A7038C"/>
    <w:rsid w:val="00B1695F"/>
    <w:rsid w:val="00B45E29"/>
    <w:rsid w:val="00CA192A"/>
    <w:rsid w:val="00CB2866"/>
    <w:rsid w:val="00D1120C"/>
    <w:rsid w:val="00D2225F"/>
    <w:rsid w:val="00D65CA0"/>
    <w:rsid w:val="00D873D1"/>
    <w:rsid w:val="00D93C43"/>
    <w:rsid w:val="00DA5FE3"/>
    <w:rsid w:val="00DF077E"/>
    <w:rsid w:val="00E00AAB"/>
    <w:rsid w:val="00E26DF3"/>
    <w:rsid w:val="00E31467"/>
    <w:rsid w:val="00E54CC4"/>
    <w:rsid w:val="00EF0EEE"/>
    <w:rsid w:val="00F01F55"/>
    <w:rsid w:val="00F12F7E"/>
    <w:rsid w:val="00F32417"/>
    <w:rsid w:val="00FB5529"/>
    <w:rsid w:val="00FF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D433F"/>
  <w15:chartTrackingRefBased/>
  <w15:docId w15:val="{9AD28B73-4568-482F-93BB-D494EF64B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CBB"/>
    <w:pPr>
      <w:keepNext/>
      <w:keepLines/>
      <w:tabs>
        <w:tab w:val="left" w:pos="851"/>
      </w:tabs>
      <w:spacing w:before="240" w:line="360" w:lineRule="auto"/>
      <w:outlineLvl w:val="0"/>
    </w:pPr>
    <w:rPr>
      <w:rFonts w:ascii="Calibri" w:eastAsiaTheme="majorEastAsia" w:hAnsi="Calibri" w:cstheme="majorBidi"/>
      <w:b/>
      <w:sz w:val="28"/>
      <w:szCs w:val="32"/>
    </w:rPr>
  </w:style>
  <w:style w:type="paragraph" w:styleId="Heading3">
    <w:name w:val="heading 3"/>
    <w:basedOn w:val="Normal"/>
    <w:link w:val="Heading3Char"/>
    <w:uiPriority w:val="9"/>
    <w:qFormat/>
    <w:rsid w:val="00B169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ai">
    <w:name w:val="Outline List 1"/>
    <w:basedOn w:val="NoList"/>
    <w:rsid w:val="00E00AAB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751CBB"/>
    <w:rPr>
      <w:rFonts w:ascii="Calibri" w:eastAsiaTheme="majorEastAsia" w:hAnsi="Calibri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E3146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467"/>
  </w:style>
  <w:style w:type="paragraph" w:styleId="Footer">
    <w:name w:val="footer"/>
    <w:basedOn w:val="Normal"/>
    <w:link w:val="FooterChar"/>
    <w:uiPriority w:val="99"/>
    <w:unhideWhenUsed/>
    <w:rsid w:val="00E3146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467"/>
  </w:style>
  <w:style w:type="character" w:styleId="Hyperlink">
    <w:name w:val="Hyperlink"/>
    <w:basedOn w:val="DefaultParagraphFont"/>
    <w:uiPriority w:val="99"/>
    <w:unhideWhenUsed/>
    <w:rsid w:val="00D873D1"/>
    <w:rPr>
      <w:color w:val="0000FF"/>
      <w:u w:val="single"/>
    </w:rPr>
  </w:style>
  <w:style w:type="paragraph" w:customStyle="1" w:styleId="Default">
    <w:name w:val="Default"/>
    <w:rsid w:val="00FF1009"/>
    <w:pPr>
      <w:autoSpaceDE w:val="0"/>
      <w:autoSpaceDN w:val="0"/>
      <w:adjustRightInd w:val="0"/>
      <w:spacing w:line="240" w:lineRule="auto"/>
    </w:pPr>
    <w:rPr>
      <w:rFonts w:ascii="Perpetua" w:hAnsi="Perpetua" w:cs="Perpetua"/>
      <w:color w:val="000000"/>
      <w:sz w:val="24"/>
      <w:szCs w:val="24"/>
    </w:rPr>
  </w:style>
  <w:style w:type="character" w:customStyle="1" w:styleId="A8">
    <w:name w:val="A8"/>
    <w:uiPriority w:val="99"/>
    <w:rsid w:val="00FF1009"/>
    <w:rPr>
      <w:rFonts w:cs="Perpetua"/>
      <w:b/>
      <w:bCs/>
      <w:i/>
      <w:iCs/>
      <w:color w:val="211D1E"/>
      <w:sz w:val="26"/>
      <w:szCs w:val="26"/>
    </w:rPr>
  </w:style>
  <w:style w:type="character" w:customStyle="1" w:styleId="A4">
    <w:name w:val="A4"/>
    <w:uiPriority w:val="99"/>
    <w:rsid w:val="00FF1009"/>
    <w:rPr>
      <w:rFonts w:ascii="Gotham Narrow Book" w:hAnsi="Gotham Narrow Book" w:cs="Gotham Narrow Book"/>
      <w:color w:val="211D1E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B1695F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styleId="HTMLCite">
    <w:name w:val="HTML Cite"/>
    <w:basedOn w:val="DefaultParagraphFont"/>
    <w:uiPriority w:val="99"/>
    <w:semiHidden/>
    <w:unhideWhenUsed/>
    <w:rsid w:val="00B1695F"/>
    <w:rPr>
      <w:i/>
      <w:iCs/>
    </w:rPr>
  </w:style>
  <w:style w:type="character" w:customStyle="1" w:styleId="eipwbe">
    <w:name w:val="eipwbe"/>
    <w:basedOn w:val="DefaultParagraphFont"/>
    <w:rsid w:val="00B1695F"/>
  </w:style>
  <w:style w:type="paragraph" w:styleId="NormalWeb">
    <w:name w:val="Normal (Web)"/>
    <w:basedOn w:val="Normal"/>
    <w:uiPriority w:val="99"/>
    <w:semiHidden/>
    <w:unhideWhenUsed/>
    <w:rsid w:val="00D93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87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171838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02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opc.org.au/downloads/policy-briefs/overweight-obesity-and-chronic-disease-in-australia.pdf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liberal.org.au/our-belief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deakin.edu.au/about-deakin/media-releases/articles/study-shows-sugar-tax-would-benefit-low-income-groups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abs.gov.au/ausstats/abs@.nsf/Lookup/by%20Subject/4364.0.55.001~2017-18~Main%20Features~Overweight%20and%20obesity~9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FBDFE44F92E34C8742DE12BD7536B5" ma:contentTypeVersion="14" ma:contentTypeDescription="Create a new document." ma:contentTypeScope="" ma:versionID="cb30fa00b4957ad9261f97dd43bf41db">
  <xsd:schema xmlns:xsd="http://www.w3.org/2001/XMLSchema" xmlns:xs="http://www.w3.org/2001/XMLSchema" xmlns:p="http://schemas.microsoft.com/office/2006/metadata/properties" xmlns:ns3="9cecd8f2-f73b-42ae-a4b9-d6b6ac602989" xmlns:ns4="143b6c31-fb33-4e5a-a99d-b50b086ff899" targetNamespace="http://schemas.microsoft.com/office/2006/metadata/properties" ma:root="true" ma:fieldsID="a5e2ababd30c24736ec06b73b2ad5b0c" ns3:_="" ns4:_="">
    <xsd:import namespace="9cecd8f2-f73b-42ae-a4b9-d6b6ac602989"/>
    <xsd:import namespace="143b6c31-fb33-4e5a-a99d-b50b086ff8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ecd8f2-f73b-42ae-a4b9-d6b6ac6029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3b6c31-fb33-4e5a-a99d-b50b086ff8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F3BA48-2BAC-4CF9-8A2B-51127A2BFC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D694C8-D21F-41CD-BB4D-B559C90DE0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ecd8f2-f73b-42ae-a4b9-d6b6ac602989"/>
    <ds:schemaRef ds:uri="143b6c31-fb33-4e5a-a99d-b50b086ff8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40187B-7644-4B94-A47D-4BB5DAB7E1AD}">
  <ds:schemaRefs>
    <ds:schemaRef ds:uri="http://schemas.microsoft.com/office/2006/documentManagement/types"/>
    <ds:schemaRef ds:uri="9cecd8f2-f73b-42ae-a4b9-d6b6ac602989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metadata/properties"/>
    <ds:schemaRef ds:uri="http://purl.org/dc/dcmitype/"/>
    <ds:schemaRef ds:uri="http://www.w3.org/XML/1998/namespace"/>
    <ds:schemaRef ds:uri="http://schemas.microsoft.com/office/infopath/2007/PartnerControls"/>
    <ds:schemaRef ds:uri="143b6c31-fb33-4e5a-a99d-b50b086ff89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1339</Words>
  <Characters>6215</Characters>
  <Application>Microsoft Office Word</Application>
  <DocSecurity>0</DocSecurity>
  <Lines>163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FRY LCC</dc:creator>
  <cp:keywords/>
  <dc:description/>
  <cp:lastModifiedBy>Vivian Fry</cp:lastModifiedBy>
  <cp:revision>3</cp:revision>
  <dcterms:created xsi:type="dcterms:W3CDTF">2021-11-27T09:53:00Z</dcterms:created>
  <dcterms:modified xsi:type="dcterms:W3CDTF">2021-11-28T01:56:00Z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0x010100CEFBDFE44F92E34C8742DE12BD7536B5</vt:lpwstr>
  </property>
</Properties>
</file>